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DC26AD">
            <w:pPr>
              <w:suppressAutoHyphens w:val="0"/>
              <w:spacing w:after="200" w:line="276" w:lineRule="auto"/>
              <w:jc w:val="left"/>
              <w:rPr>
                <w:rFonts w:ascii="Candara" w:hAnsi="Candara"/>
              </w:rPr>
            </w:pPr>
            <w:r w:rsidRPr="00DC26AD">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661502" w:rsidRDefault="00661502" w:rsidP="00E857F8">
            <w:pPr>
              <w:spacing w:line="240" w:lineRule="auto"/>
              <w:contextualSpacing/>
              <w:jc w:val="left"/>
              <w:rPr>
                <w:rFonts w:ascii="Candara" w:hAnsi="Candara"/>
              </w:rPr>
            </w:pPr>
            <w:r w:rsidRPr="00661502">
              <w:rPr>
                <w:rFonts w:ascii="Candara" w:hAnsi="Candara"/>
              </w:rPr>
              <w:t xml:space="preserve">Deutsche </w:t>
            </w:r>
            <w:proofErr w:type="spellStart"/>
            <w:r w:rsidRPr="00661502">
              <w:rPr>
                <w:rFonts w:ascii="Candara" w:hAnsi="Candara"/>
              </w:rPr>
              <w:t>Sprache</w:t>
            </w:r>
            <w:proofErr w:type="spellEnd"/>
            <w:r w:rsidRPr="00661502">
              <w:rPr>
                <w:rFonts w:ascii="Candara" w:hAnsi="Candara"/>
              </w:rPr>
              <w:t xml:space="preserve"> und </w:t>
            </w:r>
            <w:proofErr w:type="spellStart"/>
            <w:r w:rsidRPr="00661502">
              <w:rPr>
                <w:rFonts w:ascii="Candara" w:hAnsi="Candara"/>
              </w:rPr>
              <w:t>Literatur</w:t>
            </w:r>
            <w:proofErr w:type="spellEnd"/>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661502" w:rsidRDefault="00661502" w:rsidP="00E857F8">
            <w:pPr>
              <w:spacing w:line="240" w:lineRule="auto"/>
              <w:contextualSpacing/>
              <w:jc w:val="left"/>
              <w:rPr>
                <w:rFonts w:ascii="Candara" w:hAnsi="Candara"/>
                <w:b/>
              </w:rPr>
            </w:pPr>
            <w:r w:rsidRPr="00661502">
              <w:rPr>
                <w:rFonts w:ascii="Candara" w:hAnsi="Candara"/>
                <w:b/>
              </w:rPr>
              <w:t xml:space="preserve">Deutsche </w:t>
            </w:r>
            <w:proofErr w:type="spellStart"/>
            <w:r w:rsidRPr="00661502">
              <w:rPr>
                <w:rFonts w:ascii="Candara" w:hAnsi="Candara"/>
                <w:b/>
              </w:rPr>
              <w:t>Sprache</w:t>
            </w:r>
            <w:proofErr w:type="spellEnd"/>
            <w:r w:rsidRPr="00661502">
              <w:rPr>
                <w:rFonts w:ascii="Candara" w:hAnsi="Candara"/>
                <w:b/>
              </w:rPr>
              <w:t xml:space="preserve"> – </w:t>
            </w:r>
            <w:proofErr w:type="spellStart"/>
            <w:r w:rsidRPr="00661502">
              <w:rPr>
                <w:rFonts w:ascii="Candara" w:hAnsi="Candara"/>
                <w:b/>
              </w:rPr>
              <w:t>Lexikologie</w:t>
            </w:r>
            <w:proofErr w:type="spellEnd"/>
            <w:r w:rsidRPr="00661502">
              <w:rPr>
                <w:rFonts w:ascii="Candara" w:hAnsi="Candara"/>
                <w:b/>
              </w:rPr>
              <w:t xml:space="preserve"> 1</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661502" w:rsidP="00E857F8">
            <w:pPr>
              <w:spacing w:line="240" w:lineRule="auto"/>
              <w:contextualSpacing/>
              <w:jc w:val="left"/>
              <w:rPr>
                <w:rFonts w:ascii="Candara" w:hAnsi="Candara"/>
              </w:rPr>
            </w:pPr>
            <w:r w:rsidRPr="00661502">
              <w:rPr>
                <w:rFonts w:ascii="Candara" w:hAnsi="Candara"/>
              </w:rPr>
              <w:t>NJ038</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661502" w:rsidP="00E857F8">
            <w:pPr>
              <w:spacing w:line="240" w:lineRule="auto"/>
              <w:contextualSpacing/>
              <w:jc w:val="left"/>
              <w:rPr>
                <w:rFonts w:ascii="Candara" w:hAnsi="Candara"/>
              </w:rPr>
            </w:pPr>
            <w:proofErr w:type="spellStart"/>
            <w:r w:rsidRPr="00661502">
              <w:rPr>
                <w:rFonts w:ascii="Candara" w:hAnsi="Candara"/>
              </w:rPr>
              <w:t>Pflichtfach</w:t>
            </w:r>
            <w:proofErr w:type="spellEnd"/>
            <w:r w:rsidRPr="00661502">
              <w:rPr>
                <w:rFonts w:ascii="Candara" w:hAnsi="Candara"/>
              </w:rPr>
              <w:t xml:space="preserve"> (</w:t>
            </w:r>
            <w:proofErr w:type="spellStart"/>
            <w:r w:rsidRPr="00661502">
              <w:rPr>
                <w:rFonts w:ascii="Candara" w:hAnsi="Candara"/>
              </w:rPr>
              <w:t>Compulsury</w:t>
            </w:r>
            <w:proofErr w:type="spellEnd"/>
            <w:r w:rsidRPr="00661502">
              <w:rPr>
                <w:rFonts w:ascii="Candara" w:hAnsi="Candara"/>
              </w:rPr>
              <w:t>)</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661502" w:rsidP="00E857F8">
            <w:pPr>
              <w:spacing w:line="240" w:lineRule="auto"/>
              <w:contextualSpacing/>
              <w:jc w:val="left"/>
              <w:rPr>
                <w:rFonts w:ascii="Candara" w:hAnsi="Candara"/>
              </w:rPr>
            </w:pPr>
            <w:proofErr w:type="spellStart"/>
            <w:r w:rsidRPr="00661502">
              <w:rPr>
                <w:rFonts w:ascii="Candara" w:hAnsi="Candara"/>
              </w:rPr>
              <w:t>Akademisches</w:t>
            </w:r>
            <w:proofErr w:type="spellEnd"/>
            <w:r w:rsidRPr="00661502">
              <w:rPr>
                <w:rFonts w:ascii="Candara" w:hAnsi="Candara"/>
              </w:rPr>
              <w:t xml:space="preserve"> </w:t>
            </w:r>
            <w:proofErr w:type="spellStart"/>
            <w:r w:rsidRPr="00661502">
              <w:rPr>
                <w:rFonts w:ascii="Candara" w:hAnsi="Candara"/>
              </w:rPr>
              <w:t>Grundstudium</w:t>
            </w:r>
            <w:proofErr w:type="spellEnd"/>
            <w:r w:rsidRPr="00661502">
              <w:rPr>
                <w:rFonts w:ascii="Candara" w:hAnsi="Candara"/>
              </w:rPr>
              <w:t xml:space="preserve"> (Bachelor)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661502" w:rsidP="00E857F8">
            <w:pPr>
              <w:spacing w:line="240" w:lineRule="auto"/>
              <w:contextualSpacing/>
              <w:jc w:val="left"/>
              <w:rPr>
                <w:rFonts w:ascii="Candara" w:hAnsi="Candara"/>
              </w:rPr>
            </w:pPr>
            <w:r w:rsidRPr="00661502">
              <w:rPr>
                <w:rFonts w:ascii="Candara" w:hAnsi="Candara"/>
              </w:rPr>
              <w:t xml:space="preserve">0232 </w:t>
            </w:r>
            <w:proofErr w:type="spellStart"/>
            <w:r w:rsidRPr="00661502">
              <w:rPr>
                <w:rFonts w:ascii="Candara" w:hAnsi="Candara"/>
              </w:rPr>
              <w:t>Literatur</w:t>
            </w:r>
            <w:proofErr w:type="spellEnd"/>
            <w:r w:rsidRPr="00661502">
              <w:rPr>
                <w:rFonts w:ascii="Candara" w:hAnsi="Candara"/>
              </w:rPr>
              <w:t xml:space="preserve"> und </w:t>
            </w:r>
            <w:proofErr w:type="spellStart"/>
            <w:r w:rsidRPr="00661502">
              <w:rPr>
                <w:rFonts w:ascii="Candara" w:hAnsi="Candara"/>
              </w:rPr>
              <w:t>Sprachwissenschaft</w:t>
            </w:r>
            <w:proofErr w:type="spellEnd"/>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604FF5" w:rsidP="00E857F8">
            <w:pPr>
              <w:suppressAutoHyphens w:val="0"/>
              <w:spacing w:after="0" w:line="240" w:lineRule="auto"/>
              <w:contextualSpacing/>
              <w:jc w:val="left"/>
              <w:rPr>
                <w:rFonts w:ascii="Candara" w:hAnsi="Candara" w:cs="Arial"/>
                <w:lang w:val="en-US"/>
              </w:rPr>
            </w:pPr>
            <w:proofErr w:type="spellStart"/>
            <w:r>
              <w:rPr>
                <w:rFonts w:ascii="Candara" w:hAnsi="Candara" w:cs="Arial"/>
                <w:lang w:val="en-US"/>
              </w:rPr>
              <w:t>W</w:t>
            </w:r>
            <w:r w:rsidR="00C60C45">
              <w:rPr>
                <w:rFonts w:ascii="Candara" w:hAnsi="Candara" w:cs="Arial"/>
                <w:lang w:val="en-US"/>
              </w:rPr>
              <w:t>inter</w:t>
            </w:r>
            <w:r>
              <w:rPr>
                <w:rFonts w:ascii="Candara" w:hAnsi="Candara" w:cs="Arial"/>
                <w:lang w:val="en-US"/>
              </w:rPr>
              <w:t>semester</w:t>
            </w:r>
            <w:proofErr w:type="spellEnd"/>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661502" w:rsidP="00E857F8">
            <w:pPr>
              <w:spacing w:line="240" w:lineRule="auto"/>
              <w:contextualSpacing/>
              <w:jc w:val="left"/>
              <w:rPr>
                <w:rFonts w:ascii="Candara" w:hAnsi="Candara"/>
              </w:rPr>
            </w:pPr>
            <w:r w:rsidRPr="00661502">
              <w:rPr>
                <w:rFonts w:ascii="Candara" w:hAnsi="Candara"/>
              </w:rPr>
              <w:t xml:space="preserve">3.  </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661502" w:rsidP="00E857F8">
            <w:pPr>
              <w:spacing w:line="240" w:lineRule="auto"/>
              <w:contextualSpacing/>
              <w:jc w:val="left"/>
              <w:rPr>
                <w:rFonts w:ascii="Candara" w:hAnsi="Candara"/>
              </w:rPr>
            </w:pPr>
            <w:r w:rsidRPr="00661502">
              <w:rPr>
                <w:rFonts w:ascii="Candara" w:hAnsi="Candara"/>
              </w:rPr>
              <w:t>9</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661502" w:rsidP="00E857F8">
            <w:pPr>
              <w:spacing w:line="240" w:lineRule="auto"/>
              <w:contextualSpacing/>
              <w:jc w:val="left"/>
              <w:rPr>
                <w:rFonts w:ascii="Candara" w:hAnsi="Candara"/>
              </w:rPr>
            </w:pPr>
            <w:proofErr w:type="spellStart"/>
            <w:r w:rsidRPr="00661502">
              <w:rPr>
                <w:rFonts w:ascii="Candara" w:hAnsi="Candara"/>
              </w:rPr>
              <w:t>Gordana</w:t>
            </w:r>
            <w:proofErr w:type="spellEnd"/>
            <w:r w:rsidRPr="00661502">
              <w:rPr>
                <w:rFonts w:ascii="Candara" w:hAnsi="Candara"/>
              </w:rPr>
              <w:t xml:space="preserve"> </w:t>
            </w:r>
            <w:proofErr w:type="spellStart"/>
            <w:r w:rsidRPr="00661502">
              <w:rPr>
                <w:rFonts w:ascii="Candara" w:hAnsi="Candara"/>
              </w:rPr>
              <w:t>Ristić</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661502" w:rsidP="00E857F8">
            <w:pPr>
              <w:spacing w:line="240" w:lineRule="auto"/>
              <w:contextualSpacing/>
              <w:jc w:val="left"/>
              <w:rPr>
                <w:rFonts w:ascii="Candara" w:hAnsi="Candara"/>
              </w:rPr>
            </w:pPr>
            <w:proofErr w:type="spellStart"/>
            <w:r w:rsidRPr="00661502">
              <w:rPr>
                <w:rFonts w:ascii="Candara" w:hAnsi="Candara"/>
              </w:rPr>
              <w:t>Gordana</w:t>
            </w:r>
            <w:proofErr w:type="spellEnd"/>
            <w:r w:rsidRPr="00661502">
              <w:rPr>
                <w:rFonts w:ascii="Candara" w:hAnsi="Candara"/>
              </w:rPr>
              <w:t xml:space="preserve"> </w:t>
            </w:r>
            <w:proofErr w:type="spellStart"/>
            <w:r w:rsidRPr="00661502">
              <w:rPr>
                <w:rFonts w:ascii="Candara" w:hAnsi="Candara"/>
              </w:rPr>
              <w:t>Ristić</w:t>
            </w:r>
            <w:proofErr w:type="spellEnd"/>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661502" w:rsidP="00E857F8">
            <w:pPr>
              <w:spacing w:line="240" w:lineRule="auto"/>
              <w:contextualSpacing/>
              <w:jc w:val="left"/>
              <w:rPr>
                <w:rFonts w:ascii="Candara" w:hAnsi="Candara"/>
              </w:rPr>
            </w:pPr>
            <w:r w:rsidRPr="00661502">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661502" w:rsidP="00E857F8">
            <w:pPr>
              <w:spacing w:line="240" w:lineRule="auto"/>
              <w:contextualSpacing/>
              <w:jc w:val="left"/>
              <w:rPr>
                <w:rFonts w:ascii="Candara" w:hAnsi="Candara"/>
              </w:rPr>
            </w:pPr>
            <w:proofErr w:type="spellStart"/>
            <w:r w:rsidRPr="00661502">
              <w:rPr>
                <w:rFonts w:ascii="Candara" w:hAnsi="Candara"/>
              </w:rPr>
              <w:t>Morphologie</w:t>
            </w:r>
            <w:proofErr w:type="spellEnd"/>
            <w:r w:rsidRPr="00661502">
              <w:rPr>
                <w:rFonts w:ascii="Candara" w:hAnsi="Candara"/>
              </w:rPr>
              <w:t xml:space="preserve"> 1, </w:t>
            </w:r>
            <w:proofErr w:type="spellStart"/>
            <w:r w:rsidRPr="00661502">
              <w:rPr>
                <w:rFonts w:ascii="Candara" w:hAnsi="Candara"/>
              </w:rPr>
              <w:t>Morphologie</w:t>
            </w:r>
            <w:proofErr w:type="spellEnd"/>
            <w:r w:rsidRPr="00661502">
              <w:rPr>
                <w:rFonts w:ascii="Candara" w:hAnsi="Candara"/>
              </w:rPr>
              <w:t xml:space="preserve"> 2, Syntax 1, Syntax 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2C3F94" w:rsidTr="00A96677">
        <w:trPr>
          <w:trHeight w:val="562"/>
        </w:trPr>
        <w:tc>
          <w:tcPr>
            <w:tcW w:w="10440" w:type="dxa"/>
            <w:gridSpan w:val="4"/>
            <w:vAlign w:val="center"/>
          </w:tcPr>
          <w:p w:rsidR="00911529" w:rsidRPr="002C3F94" w:rsidRDefault="00661502" w:rsidP="00661502">
            <w:pPr>
              <w:spacing w:line="240" w:lineRule="auto"/>
              <w:contextualSpacing/>
              <w:rPr>
                <w:rFonts w:ascii="Candara" w:hAnsi="Candara"/>
                <w:lang w:val="de-DE"/>
              </w:rPr>
            </w:pPr>
            <w:r w:rsidRPr="002C3F94">
              <w:rPr>
                <w:rFonts w:ascii="Candara" w:hAnsi="Candara"/>
                <w:lang w:val="de-DE"/>
              </w:rPr>
              <w:t>Erwerb von Grundkenntnissen über die Lexikologie als Wissenschaftsdisziplin, die sich mit dem systematischen Beschreiben der Lexik einer Sprache beschäftigt, und deren Unterdisziplinen, sowie über die Verbundenheit der Lexikologie mit anderen wissenschaftlichen Disziplinen. Bekanntmachung mit verschiedenen Techniken und Problemen beim Übersetzen. Entwicklung der Übersetzungsfähigkeiten aus der deutschen und in die deutsche Sprache am Beispiel von  verschiedenen Textsorten. Wortschatzerweiterung. Die Studentinnen und Studenten lernen sich über bekannteThemen und Interessengebiete in mündlicher und schriftlicher Form auszudrücken, sowie Alltagssituationen im Land, dessen Sprache sie erlernen, problemlos zu meistern.</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2C3F94" w:rsidTr="00E857F8">
        <w:trPr>
          <w:trHeight w:val="562"/>
        </w:trPr>
        <w:tc>
          <w:tcPr>
            <w:tcW w:w="10440" w:type="dxa"/>
            <w:gridSpan w:val="4"/>
            <w:shd w:val="clear" w:color="auto" w:fill="auto"/>
            <w:vAlign w:val="center"/>
          </w:tcPr>
          <w:p w:rsidR="00E857F8" w:rsidRPr="002C3F94" w:rsidRDefault="00661502" w:rsidP="00661502">
            <w:pPr>
              <w:spacing w:line="240" w:lineRule="auto"/>
              <w:contextualSpacing/>
              <w:rPr>
                <w:rFonts w:ascii="Candara" w:hAnsi="Candara"/>
                <w:lang w:val="de-DE"/>
              </w:rPr>
            </w:pPr>
            <w:r w:rsidRPr="002C3F94">
              <w:rPr>
                <w:rFonts w:ascii="Candara" w:hAnsi="Candara"/>
                <w:lang w:val="de-DE"/>
              </w:rPr>
              <w:t>Die Studentinnen und Studenten besitzen Grundkenntnisse über die Lexikologie, deren Unterdisziplinen und deren Verhältnis zu anderen Wissenschaften. Sie kennen die Wortbildung aus synchroner und diachroner Sicht und bekommen einen Einblick in das Funktionieren des Grundwortschatzes der deutschen Sprache. Sie sind in der Lage mithilfe von Wörterbüchern weniger komplexe Texte aus der deutschen und in die deutsche Sprache zu übersetzen. Sie sind imstande das Wesen jedes Gesprächs zu verstehen und die Interaktion mit deutschsprachigen Gesprächspartnern aufrecht zu erhalten. Sie sind ebenfalls in der Lage sich in schriftlicher und mündlicher Form über Ereignisse und Erfahrungen zu äußern, ihre eigenen Wünsche und Ziele zu beschreiben und ihre Meinungen und Ansichten über bestimmte Themen auszudrücken.</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2C3F94" w:rsidTr="00B54668">
        <w:trPr>
          <w:trHeight w:val="562"/>
        </w:trPr>
        <w:tc>
          <w:tcPr>
            <w:tcW w:w="10440" w:type="dxa"/>
            <w:gridSpan w:val="4"/>
            <w:shd w:val="clear" w:color="auto" w:fill="auto"/>
            <w:vAlign w:val="center"/>
          </w:tcPr>
          <w:p w:rsidR="00661502" w:rsidRPr="002C3F94" w:rsidRDefault="00661502" w:rsidP="00661502">
            <w:pPr>
              <w:tabs>
                <w:tab w:val="left" w:pos="360"/>
              </w:tabs>
              <w:spacing w:after="0" w:line="240" w:lineRule="auto"/>
              <w:rPr>
                <w:rFonts w:ascii="Candara" w:hAnsi="Candara"/>
                <w:lang w:val="de-DE"/>
              </w:rPr>
            </w:pPr>
            <w:r w:rsidRPr="002C3F94">
              <w:rPr>
                <w:rFonts w:ascii="Candara" w:hAnsi="Candara"/>
                <w:lang w:val="de-DE"/>
              </w:rPr>
              <w:t xml:space="preserve">Theoretischer Unterricht: Lexikologie als selbständige Wissenschaftsdisziplin, ihr Verhältnis zu anderen wissenschaftlichen Disziplinen und Unterdisziplinen der Lexikologie. Probleme der Wortbildung aus synchroner Sicht: Komposition, Derivation, Kurzwortbildung, besondere Formen der Wortbildung. Probleme der Wortbildung aus diachroner Sicht: Historische Entwicklung der Wortbildungswissenschaft im deutschsprachigen Raum. </w:t>
            </w:r>
          </w:p>
          <w:p w:rsidR="00661502" w:rsidRPr="002C3F94" w:rsidRDefault="00661502" w:rsidP="00661502">
            <w:pPr>
              <w:tabs>
                <w:tab w:val="left" w:pos="360"/>
              </w:tabs>
              <w:spacing w:after="0" w:line="240" w:lineRule="auto"/>
              <w:rPr>
                <w:rFonts w:ascii="Candara" w:hAnsi="Candara"/>
                <w:lang w:val="de-DE"/>
              </w:rPr>
            </w:pPr>
            <w:r w:rsidRPr="002C3F94">
              <w:rPr>
                <w:rFonts w:ascii="Candara" w:hAnsi="Candara"/>
                <w:lang w:val="de-DE"/>
              </w:rPr>
              <w:t xml:space="preserve"> </w:t>
            </w:r>
          </w:p>
          <w:p w:rsidR="00B54668" w:rsidRPr="002C3F94" w:rsidRDefault="00661502" w:rsidP="00661502">
            <w:pPr>
              <w:tabs>
                <w:tab w:val="left" w:pos="360"/>
              </w:tabs>
              <w:spacing w:after="0" w:line="240" w:lineRule="auto"/>
              <w:rPr>
                <w:rFonts w:ascii="Candara" w:hAnsi="Candara"/>
                <w:b/>
                <w:lang w:val="de-DE"/>
              </w:rPr>
            </w:pPr>
            <w:r w:rsidRPr="002C3F94">
              <w:rPr>
                <w:rFonts w:ascii="Candara" w:hAnsi="Candara"/>
                <w:lang w:val="de-DE"/>
              </w:rPr>
              <w:t>Praktischer Unterricht: Der Erwerb des angeführten Lehrstoffs durch erarbeitete konkrete und zielgerichtete Aufgaben in den dafür vorgesehenen Übungsstunden. Die Analyse und das Übersetzen verschiedener Textsorten aus der deutschen und in die deutsche Sprache; das Erlernen verschiedener Techniken zum richtigen „Lesen“ von Stichwörtern in Wörterbüchern und anderen Lexiken. Die Vertiefung  und thematische Erweiterung des Grundwortschatzes durch sprachlich-produktive Übungen: Bericht, Beschreibung, Begründung, Erklärung, mündliches Erzählen. Die Studentinnen und Studenten machen sich ebenfalls mit verschiedenen Textsorten (persönlicher Brief, Geschäftsbrief, Beschreibung, Anmeldung, Lebenslauf usw.) bekannt.</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2C3F94" w:rsidTr="00B54668">
        <w:trPr>
          <w:trHeight w:val="562"/>
        </w:trPr>
        <w:tc>
          <w:tcPr>
            <w:tcW w:w="10440" w:type="dxa"/>
            <w:gridSpan w:val="4"/>
            <w:shd w:val="clear" w:color="auto" w:fill="auto"/>
            <w:vAlign w:val="center"/>
          </w:tcPr>
          <w:p w:rsidR="00B54668" w:rsidRPr="002C3F94" w:rsidRDefault="00661502" w:rsidP="00661502">
            <w:pPr>
              <w:spacing w:after="0" w:line="240" w:lineRule="auto"/>
              <w:contextualSpacing/>
              <w:rPr>
                <w:rFonts w:ascii="Candara" w:hAnsi="Candara"/>
                <w:lang w:val="de-DE"/>
              </w:rPr>
            </w:pPr>
            <w:r w:rsidRPr="002C3F94">
              <w:rPr>
                <w:rFonts w:ascii="Candara" w:hAnsi="Candara"/>
                <w:lang w:val="de-DE"/>
              </w:rPr>
              <w:t>Vorlesungen, Übungen, Einzelarbeit, Partnerarbeit, Gruppenarbeit, Diskussionen, Analyse und kritische Einschätzung der Übersetzung</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2C3F94" w:rsidTr="00B54668">
        <w:trPr>
          <w:trHeight w:val="562"/>
        </w:trPr>
        <w:tc>
          <w:tcPr>
            <w:tcW w:w="10440" w:type="dxa"/>
            <w:gridSpan w:val="4"/>
            <w:shd w:val="clear" w:color="auto" w:fill="auto"/>
            <w:vAlign w:val="center"/>
          </w:tcPr>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1. Czichocki, S.- Mrazović, P. (1997): </w:t>
            </w:r>
            <w:r w:rsidRPr="002C3F94">
              <w:rPr>
                <w:rFonts w:ascii="Candara" w:hAnsi="Candara"/>
                <w:i/>
                <w:lang w:val="de-DE"/>
              </w:rPr>
              <w:t>Lexikologie der deutschen Sprache</w:t>
            </w:r>
            <w:r w:rsidRPr="002C3F94">
              <w:rPr>
                <w:rFonts w:ascii="Candara" w:hAnsi="Candara"/>
                <w:lang w:val="de-DE"/>
              </w:rPr>
              <w:t xml:space="preserve">. JATEPress, Szeged. </w:t>
            </w:r>
          </w:p>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2. Fleischer, W.- Barz, I. (1995): </w:t>
            </w:r>
            <w:r w:rsidRPr="002C3F94">
              <w:rPr>
                <w:rFonts w:ascii="Candara" w:hAnsi="Candara"/>
                <w:i/>
                <w:lang w:val="de-DE"/>
              </w:rPr>
              <w:t>Wortbildung der deutschen Gegenwartssprache</w:t>
            </w:r>
            <w:r w:rsidRPr="002C3F94">
              <w:rPr>
                <w:rFonts w:ascii="Candara" w:hAnsi="Candara"/>
                <w:lang w:val="de-DE"/>
              </w:rPr>
              <w:t xml:space="preserve">. Günter Narr, Tübingen. </w:t>
            </w:r>
          </w:p>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3. Schippan, T. (1992): </w:t>
            </w:r>
            <w:r w:rsidRPr="002C3F94">
              <w:rPr>
                <w:rFonts w:ascii="Candara" w:hAnsi="Candara"/>
                <w:i/>
                <w:lang w:val="de-DE"/>
              </w:rPr>
              <w:t>Lexikologie der deutschen Gegenwartssprache</w:t>
            </w:r>
            <w:r w:rsidRPr="002C3F94">
              <w:rPr>
                <w:rFonts w:ascii="Candara" w:hAnsi="Candara"/>
                <w:lang w:val="de-DE"/>
              </w:rPr>
              <w:t xml:space="preserve">. Günter Narr, Tübingen. </w:t>
            </w:r>
          </w:p>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4. Hansen-Kokoruš R. i dr. (2005): </w:t>
            </w:r>
            <w:r w:rsidRPr="002C3F94">
              <w:rPr>
                <w:rFonts w:ascii="Candara" w:hAnsi="Candara"/>
                <w:i/>
                <w:lang w:val="de-DE"/>
              </w:rPr>
              <w:t>Njemačko-hrvatski univerzalni rječnik</w:t>
            </w:r>
            <w:r w:rsidRPr="002C3F94">
              <w:rPr>
                <w:rFonts w:ascii="Candara" w:hAnsi="Candara"/>
                <w:lang w:val="de-DE"/>
              </w:rPr>
              <w:t xml:space="preserve">. Globus, Zagreb. </w:t>
            </w:r>
          </w:p>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5. Jakić, B.; Hurm, A. (1985): </w:t>
            </w:r>
            <w:r w:rsidRPr="002C3F94">
              <w:rPr>
                <w:rFonts w:ascii="Candara" w:hAnsi="Candara"/>
                <w:i/>
                <w:lang w:val="de-DE"/>
              </w:rPr>
              <w:t>Hrvatsko ili sprsko-njemački rječnik</w:t>
            </w:r>
            <w:r w:rsidRPr="002C3F94">
              <w:rPr>
                <w:rFonts w:ascii="Candara" w:hAnsi="Candara"/>
                <w:lang w:val="de-DE"/>
              </w:rPr>
              <w:t xml:space="preserve">. Školska knjiga, Zagreb. </w:t>
            </w:r>
          </w:p>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6. Ristić, S. / Kangrga, J. (1963): </w:t>
            </w:r>
            <w:r w:rsidRPr="002C3F94">
              <w:rPr>
                <w:rFonts w:ascii="Candara" w:hAnsi="Candara"/>
                <w:i/>
                <w:lang w:val="de-DE"/>
              </w:rPr>
              <w:t>Enciklopedijski nemačko-srpskohrvatski rečnik</w:t>
            </w:r>
            <w:r w:rsidRPr="002C3F94">
              <w:rPr>
                <w:rFonts w:ascii="Candara" w:hAnsi="Candara"/>
                <w:lang w:val="de-DE"/>
              </w:rPr>
              <w:t>. Prosveta, Beograd. Max Hueber, München.</w:t>
            </w:r>
          </w:p>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 7. Kunkel-Razum, K. et al. (Hrsg.) (2003): </w:t>
            </w:r>
            <w:r w:rsidRPr="002C3F94">
              <w:rPr>
                <w:rFonts w:ascii="Candara" w:hAnsi="Candara"/>
                <w:i/>
                <w:lang w:val="de-DE"/>
              </w:rPr>
              <w:t>Duden. Deutsches Universalwörterbuch</w:t>
            </w:r>
            <w:r w:rsidRPr="002C3F94">
              <w:rPr>
                <w:rFonts w:ascii="Candara" w:hAnsi="Candara"/>
                <w:lang w:val="de-DE"/>
              </w:rPr>
              <w:t xml:space="preserve">. Bibliographisches Institut Mannheim, Mannheim.  </w:t>
            </w:r>
          </w:p>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8. Bacskai, E. (1995): </w:t>
            </w:r>
            <w:r w:rsidRPr="002C3F94">
              <w:rPr>
                <w:rFonts w:ascii="Candara" w:hAnsi="Candara"/>
                <w:i/>
                <w:lang w:val="de-DE"/>
              </w:rPr>
              <w:t>ABC der Textsortenkompetenz. Tipps und Techniken zu Textsorten und Aufsaztarten</w:t>
            </w:r>
            <w:r w:rsidRPr="002C3F94">
              <w:rPr>
                <w:rFonts w:ascii="Candara" w:hAnsi="Candara"/>
                <w:lang w:val="de-DE"/>
              </w:rPr>
              <w:t xml:space="preserve">. ELTE Germanistisches Institut, Budapest.   </w:t>
            </w:r>
          </w:p>
          <w:p w:rsidR="00661502" w:rsidRPr="002C3F94" w:rsidRDefault="00661502" w:rsidP="00E857F8">
            <w:pPr>
              <w:tabs>
                <w:tab w:val="left" w:pos="360"/>
              </w:tabs>
              <w:spacing w:after="0" w:line="240" w:lineRule="auto"/>
              <w:jc w:val="left"/>
              <w:rPr>
                <w:rFonts w:ascii="Candara" w:hAnsi="Candara"/>
                <w:lang w:val="de-DE"/>
              </w:rPr>
            </w:pPr>
            <w:r w:rsidRPr="002C3F94">
              <w:rPr>
                <w:rFonts w:ascii="Candara" w:hAnsi="Candara"/>
                <w:lang w:val="de-DE"/>
              </w:rPr>
              <w:t xml:space="preserve">9. Ende, K. (1998): </w:t>
            </w:r>
            <w:r w:rsidRPr="002C3F94">
              <w:rPr>
                <w:rFonts w:ascii="Candara" w:hAnsi="Candara"/>
                <w:i/>
                <w:lang w:val="de-DE"/>
              </w:rPr>
              <w:t>Schreiben. In: Methodik und Didaktik des Fortgeschrittenenunterrichts</w:t>
            </w:r>
            <w:r w:rsidRPr="002C3F94">
              <w:rPr>
                <w:rFonts w:ascii="Candara" w:hAnsi="Candara"/>
                <w:lang w:val="de-DE"/>
              </w:rPr>
              <w:t xml:space="preserve">. Goethe-Institut, München. S. 203 – 240. </w:t>
            </w:r>
          </w:p>
          <w:p w:rsidR="00B54668" w:rsidRPr="002C3F94" w:rsidRDefault="00661502" w:rsidP="00E857F8">
            <w:pPr>
              <w:tabs>
                <w:tab w:val="left" w:pos="360"/>
              </w:tabs>
              <w:spacing w:after="0" w:line="240" w:lineRule="auto"/>
              <w:jc w:val="left"/>
              <w:rPr>
                <w:rFonts w:ascii="Candara" w:hAnsi="Candara"/>
                <w:b/>
                <w:lang w:val="de-DE"/>
              </w:rPr>
            </w:pPr>
            <w:r w:rsidRPr="002C3F94">
              <w:rPr>
                <w:rFonts w:ascii="Candara" w:hAnsi="Candara"/>
                <w:lang w:val="de-DE"/>
              </w:rPr>
              <w:t xml:space="preserve">10. Schatz, H. (2005): </w:t>
            </w:r>
            <w:r w:rsidRPr="002C3F94">
              <w:rPr>
                <w:rFonts w:ascii="Candara" w:hAnsi="Candara"/>
                <w:i/>
                <w:lang w:val="de-DE"/>
              </w:rPr>
              <w:t>Fertigkeit Sprechen. Fernstudieneinheit</w:t>
            </w:r>
            <w:r w:rsidRPr="002C3F94">
              <w:rPr>
                <w:rFonts w:ascii="Candara" w:hAnsi="Candara"/>
                <w:lang w:val="de-DE"/>
              </w:rPr>
              <w:t xml:space="preserve"> 20. Langenscheidt, Berlin.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134"/>
        <w:gridCol w:w="4678"/>
        <w:gridCol w:w="1701"/>
      </w:tblGrid>
      <w:tr w:rsidR="00661502" w:rsidRPr="006C1762" w:rsidTr="00661502">
        <w:tc>
          <w:tcPr>
            <w:tcW w:w="2977" w:type="dxa"/>
            <w:vAlign w:val="center"/>
          </w:tcPr>
          <w:p w:rsidR="00661502" w:rsidRPr="00C73FFA" w:rsidRDefault="00661502" w:rsidP="00C73FFA">
            <w:pPr>
              <w:rPr>
                <w:rFonts w:ascii="Candara" w:hAnsi="Candara"/>
                <w:highlight w:val="yellow"/>
                <w:lang w:val="en-US"/>
              </w:rPr>
            </w:pPr>
            <w:proofErr w:type="spellStart"/>
            <w:r w:rsidRPr="00C73FFA">
              <w:rPr>
                <w:rFonts w:ascii="Candara" w:hAnsi="Candara"/>
                <w:lang w:val="en-US"/>
              </w:rPr>
              <w:t>Vorprüfungsverpflichtungen</w:t>
            </w:r>
            <w:proofErr w:type="spellEnd"/>
          </w:p>
        </w:tc>
        <w:tc>
          <w:tcPr>
            <w:tcW w:w="1134" w:type="dxa"/>
            <w:vAlign w:val="center"/>
          </w:tcPr>
          <w:p w:rsidR="00661502" w:rsidRPr="00C73FFA" w:rsidRDefault="00661502" w:rsidP="0058665E">
            <w:pPr>
              <w:jc w:val="center"/>
              <w:rPr>
                <w:rFonts w:ascii="Candara" w:hAnsi="Candara"/>
                <w:lang w:val="en-US"/>
              </w:rPr>
            </w:pPr>
            <w:proofErr w:type="spellStart"/>
            <w:r w:rsidRPr="00C73FFA">
              <w:rPr>
                <w:rFonts w:ascii="Candara" w:hAnsi="Candara"/>
                <w:lang w:val="en-US"/>
              </w:rPr>
              <w:t>Punkte</w:t>
            </w:r>
            <w:proofErr w:type="spellEnd"/>
          </w:p>
        </w:tc>
        <w:tc>
          <w:tcPr>
            <w:tcW w:w="4678" w:type="dxa"/>
            <w:vAlign w:val="center"/>
          </w:tcPr>
          <w:p w:rsidR="00661502" w:rsidRPr="00C73FFA" w:rsidRDefault="00661502" w:rsidP="0058665E">
            <w:pPr>
              <w:jc w:val="center"/>
              <w:rPr>
                <w:rFonts w:ascii="Candara" w:hAnsi="Candara"/>
                <w:lang w:val="en-US"/>
              </w:rPr>
            </w:pPr>
            <w:proofErr w:type="spellStart"/>
            <w:r w:rsidRPr="00C73FFA">
              <w:rPr>
                <w:rFonts w:ascii="Candara" w:hAnsi="Candara"/>
                <w:lang w:val="en-US"/>
              </w:rPr>
              <w:t>Abschließende</w:t>
            </w:r>
            <w:proofErr w:type="spellEnd"/>
            <w:r w:rsidRPr="00C73FFA">
              <w:rPr>
                <w:rFonts w:ascii="Candara" w:hAnsi="Candara"/>
                <w:lang w:val="en-US"/>
              </w:rPr>
              <w:t xml:space="preserve"> </w:t>
            </w:r>
            <w:proofErr w:type="spellStart"/>
            <w:r w:rsidRPr="00C73FFA">
              <w:rPr>
                <w:rFonts w:ascii="Candara" w:hAnsi="Candara"/>
                <w:lang w:val="en-US"/>
              </w:rPr>
              <w:t>Prüfung</w:t>
            </w:r>
            <w:proofErr w:type="spellEnd"/>
          </w:p>
        </w:tc>
        <w:tc>
          <w:tcPr>
            <w:tcW w:w="1701" w:type="dxa"/>
            <w:vAlign w:val="center"/>
          </w:tcPr>
          <w:p w:rsidR="00661502" w:rsidRPr="00C73FFA" w:rsidRDefault="00661502" w:rsidP="0058665E">
            <w:pPr>
              <w:jc w:val="center"/>
              <w:rPr>
                <w:rFonts w:ascii="Candara" w:hAnsi="Candara"/>
                <w:lang w:val="en-US"/>
              </w:rPr>
            </w:pPr>
            <w:proofErr w:type="spellStart"/>
            <w:r w:rsidRPr="00C73FFA">
              <w:rPr>
                <w:rFonts w:ascii="Candara" w:hAnsi="Candara"/>
                <w:lang w:val="en-US"/>
              </w:rPr>
              <w:t>Punkte</w:t>
            </w:r>
            <w:proofErr w:type="spellEnd"/>
          </w:p>
        </w:tc>
      </w:tr>
      <w:tr w:rsidR="00661502" w:rsidTr="00661502">
        <w:tc>
          <w:tcPr>
            <w:tcW w:w="2977" w:type="dxa"/>
            <w:vAlign w:val="center"/>
          </w:tcPr>
          <w:p w:rsidR="00661502" w:rsidRPr="00C73FFA" w:rsidRDefault="00661502" w:rsidP="0058665E">
            <w:pPr>
              <w:rPr>
                <w:rFonts w:ascii="Candara" w:hAnsi="Candara"/>
              </w:rPr>
            </w:pPr>
            <w:proofErr w:type="spellStart"/>
            <w:r w:rsidRPr="00C73FFA">
              <w:rPr>
                <w:rFonts w:ascii="Candara" w:hAnsi="Candara"/>
                <w:lang w:val="en-US"/>
              </w:rPr>
              <w:t>Seminararbeit</w:t>
            </w:r>
            <w:proofErr w:type="spellEnd"/>
          </w:p>
        </w:tc>
        <w:tc>
          <w:tcPr>
            <w:tcW w:w="1134" w:type="dxa"/>
            <w:vAlign w:val="center"/>
          </w:tcPr>
          <w:p w:rsidR="00661502" w:rsidRPr="00C73FFA" w:rsidRDefault="00661502" w:rsidP="0058665E">
            <w:pPr>
              <w:jc w:val="center"/>
              <w:rPr>
                <w:rFonts w:ascii="Candara" w:hAnsi="Candara"/>
                <w:lang w:val="en-US"/>
              </w:rPr>
            </w:pPr>
            <w:r w:rsidRPr="00C73FFA">
              <w:rPr>
                <w:rFonts w:ascii="Candara" w:hAnsi="Candara"/>
                <w:lang w:val="en-US"/>
              </w:rPr>
              <w:t>20</w:t>
            </w:r>
          </w:p>
        </w:tc>
        <w:tc>
          <w:tcPr>
            <w:tcW w:w="4678" w:type="dxa"/>
            <w:vAlign w:val="center"/>
          </w:tcPr>
          <w:p w:rsidR="00661502" w:rsidRPr="00C73FFA" w:rsidRDefault="00661502" w:rsidP="0058665E">
            <w:pPr>
              <w:jc w:val="center"/>
              <w:rPr>
                <w:rFonts w:ascii="Candara" w:hAnsi="Candara"/>
                <w:lang w:val="en-US"/>
              </w:rPr>
            </w:pPr>
          </w:p>
        </w:tc>
        <w:tc>
          <w:tcPr>
            <w:tcW w:w="1701" w:type="dxa"/>
            <w:vAlign w:val="center"/>
          </w:tcPr>
          <w:p w:rsidR="00661502" w:rsidRPr="00C73FFA" w:rsidRDefault="00661502" w:rsidP="0058665E">
            <w:pPr>
              <w:jc w:val="center"/>
              <w:rPr>
                <w:rFonts w:ascii="Candara" w:hAnsi="Candara"/>
                <w:lang w:val="en-US"/>
              </w:rPr>
            </w:pPr>
          </w:p>
        </w:tc>
      </w:tr>
      <w:tr w:rsidR="00661502" w:rsidRPr="00281B79" w:rsidTr="00661502">
        <w:tc>
          <w:tcPr>
            <w:tcW w:w="2977" w:type="dxa"/>
          </w:tcPr>
          <w:p w:rsidR="00661502" w:rsidRPr="00C73FFA" w:rsidRDefault="00661502" w:rsidP="0058665E">
            <w:pPr>
              <w:rPr>
                <w:rFonts w:ascii="Candara" w:hAnsi="Candara"/>
                <w:lang w:val="en-US"/>
              </w:rPr>
            </w:pPr>
            <w:proofErr w:type="spellStart"/>
            <w:r w:rsidRPr="00C73FFA">
              <w:rPr>
                <w:rFonts w:ascii="Candara" w:hAnsi="Candara"/>
                <w:lang w:val="en-US"/>
              </w:rPr>
              <w:t>Praktischer</w:t>
            </w:r>
            <w:proofErr w:type="spellEnd"/>
            <w:r w:rsidRPr="00C73FFA">
              <w:rPr>
                <w:rFonts w:ascii="Candara" w:hAnsi="Candara"/>
                <w:lang w:val="en-US"/>
              </w:rPr>
              <w:t xml:space="preserve"> </w:t>
            </w:r>
            <w:proofErr w:type="spellStart"/>
            <w:r w:rsidRPr="00C73FFA">
              <w:rPr>
                <w:rFonts w:ascii="Candara" w:hAnsi="Candara"/>
                <w:lang w:val="en-US"/>
              </w:rPr>
              <w:t>Unterricht</w:t>
            </w:r>
            <w:proofErr w:type="spellEnd"/>
            <w:r w:rsidRPr="00C73FFA">
              <w:rPr>
                <w:rFonts w:ascii="Candara" w:hAnsi="Candara"/>
                <w:lang w:val="en-US"/>
              </w:rPr>
              <w:t xml:space="preserve"> 1</w:t>
            </w:r>
          </w:p>
        </w:tc>
        <w:tc>
          <w:tcPr>
            <w:tcW w:w="1134" w:type="dxa"/>
            <w:vAlign w:val="center"/>
          </w:tcPr>
          <w:p w:rsidR="00661502" w:rsidRPr="00C73FFA" w:rsidRDefault="00661502" w:rsidP="0058665E">
            <w:pPr>
              <w:jc w:val="center"/>
              <w:rPr>
                <w:rFonts w:ascii="Candara" w:hAnsi="Candara"/>
                <w:lang w:val="de-DE"/>
              </w:rPr>
            </w:pPr>
            <w:r w:rsidRPr="00C73FFA">
              <w:rPr>
                <w:rFonts w:ascii="Candara" w:hAnsi="Candara"/>
                <w:lang w:val="de-DE"/>
              </w:rPr>
              <w:t>10</w:t>
            </w:r>
          </w:p>
        </w:tc>
        <w:tc>
          <w:tcPr>
            <w:tcW w:w="4678" w:type="dxa"/>
          </w:tcPr>
          <w:p w:rsidR="00661502" w:rsidRPr="00C73FFA" w:rsidRDefault="00661502" w:rsidP="0058665E">
            <w:pPr>
              <w:rPr>
                <w:rFonts w:ascii="Candara" w:hAnsi="Candara"/>
                <w:lang w:val="en-US"/>
              </w:rPr>
            </w:pPr>
            <w:proofErr w:type="spellStart"/>
            <w:r w:rsidRPr="00C73FFA">
              <w:rPr>
                <w:rFonts w:ascii="Candara" w:hAnsi="Candara"/>
                <w:lang w:val="en-US"/>
              </w:rPr>
              <w:t>Schriftliche</w:t>
            </w:r>
            <w:proofErr w:type="spellEnd"/>
            <w:r w:rsidRPr="00C73FFA">
              <w:rPr>
                <w:rFonts w:ascii="Candara" w:hAnsi="Candara"/>
                <w:lang w:val="en-US"/>
              </w:rPr>
              <w:t xml:space="preserve"> </w:t>
            </w:r>
            <w:proofErr w:type="spellStart"/>
            <w:r w:rsidRPr="00C73FFA">
              <w:rPr>
                <w:rFonts w:ascii="Candara" w:hAnsi="Candara"/>
                <w:lang w:val="en-US"/>
              </w:rPr>
              <w:t>Prüfung</w:t>
            </w:r>
            <w:proofErr w:type="spellEnd"/>
          </w:p>
        </w:tc>
        <w:tc>
          <w:tcPr>
            <w:tcW w:w="1701" w:type="dxa"/>
            <w:vAlign w:val="center"/>
          </w:tcPr>
          <w:p w:rsidR="00661502" w:rsidRPr="00C73FFA" w:rsidRDefault="00661502" w:rsidP="0058665E">
            <w:pPr>
              <w:rPr>
                <w:rFonts w:ascii="Candara" w:hAnsi="Candara"/>
                <w:lang w:val="en-US"/>
              </w:rPr>
            </w:pPr>
            <w:r w:rsidRPr="00C73FFA">
              <w:rPr>
                <w:rFonts w:ascii="Candara" w:hAnsi="Candara"/>
                <w:lang w:val="en-US"/>
              </w:rPr>
              <w:t xml:space="preserve">      30</w:t>
            </w:r>
          </w:p>
        </w:tc>
      </w:tr>
      <w:tr w:rsidR="00661502" w:rsidRPr="002C5C6F" w:rsidTr="00661502">
        <w:tc>
          <w:tcPr>
            <w:tcW w:w="2977" w:type="dxa"/>
            <w:tcBorders>
              <w:bottom w:val="single" w:sz="4" w:space="0" w:color="auto"/>
            </w:tcBorders>
          </w:tcPr>
          <w:p w:rsidR="00661502" w:rsidRPr="00C73FFA" w:rsidRDefault="00661502" w:rsidP="0058665E">
            <w:pPr>
              <w:rPr>
                <w:rFonts w:ascii="Candara" w:hAnsi="Candara"/>
                <w:lang w:val="en-US"/>
              </w:rPr>
            </w:pPr>
            <w:proofErr w:type="spellStart"/>
            <w:r w:rsidRPr="00C73FFA">
              <w:rPr>
                <w:rFonts w:ascii="Candara" w:hAnsi="Candara"/>
                <w:lang w:val="en-US"/>
              </w:rPr>
              <w:t>Praktischer</w:t>
            </w:r>
            <w:proofErr w:type="spellEnd"/>
            <w:r w:rsidRPr="00C73FFA">
              <w:rPr>
                <w:rFonts w:ascii="Candara" w:hAnsi="Candara"/>
                <w:lang w:val="en-US"/>
              </w:rPr>
              <w:t xml:space="preserve"> </w:t>
            </w:r>
            <w:proofErr w:type="spellStart"/>
            <w:r w:rsidRPr="00C73FFA">
              <w:rPr>
                <w:rFonts w:ascii="Candara" w:hAnsi="Candara"/>
                <w:lang w:val="en-US"/>
              </w:rPr>
              <w:t>Unterricht</w:t>
            </w:r>
            <w:proofErr w:type="spellEnd"/>
            <w:r w:rsidRPr="00C73FFA">
              <w:rPr>
                <w:rFonts w:ascii="Candara" w:hAnsi="Candara"/>
                <w:lang w:val="en-US"/>
              </w:rPr>
              <w:t xml:space="preserve"> 2</w:t>
            </w:r>
          </w:p>
        </w:tc>
        <w:tc>
          <w:tcPr>
            <w:tcW w:w="1134" w:type="dxa"/>
            <w:tcBorders>
              <w:bottom w:val="single" w:sz="4" w:space="0" w:color="auto"/>
            </w:tcBorders>
            <w:vAlign w:val="center"/>
          </w:tcPr>
          <w:p w:rsidR="00661502" w:rsidRPr="00C73FFA" w:rsidRDefault="00661502" w:rsidP="0058665E">
            <w:pPr>
              <w:jc w:val="center"/>
              <w:rPr>
                <w:rFonts w:ascii="Candara" w:hAnsi="Candara"/>
                <w:lang w:val="de-DE"/>
              </w:rPr>
            </w:pPr>
            <w:r w:rsidRPr="00C73FFA">
              <w:rPr>
                <w:rFonts w:ascii="Candara" w:hAnsi="Candara"/>
                <w:lang w:val="de-DE"/>
              </w:rPr>
              <w:t>10</w:t>
            </w:r>
          </w:p>
        </w:tc>
        <w:tc>
          <w:tcPr>
            <w:tcW w:w="4678" w:type="dxa"/>
            <w:tcBorders>
              <w:bottom w:val="single" w:sz="4" w:space="0" w:color="auto"/>
            </w:tcBorders>
          </w:tcPr>
          <w:p w:rsidR="00661502" w:rsidRPr="00C73FFA" w:rsidRDefault="00661502" w:rsidP="0058665E">
            <w:pPr>
              <w:rPr>
                <w:rFonts w:ascii="Candara" w:hAnsi="Candara"/>
                <w:lang w:val="en-US"/>
              </w:rPr>
            </w:pPr>
            <w:proofErr w:type="spellStart"/>
            <w:r w:rsidRPr="00C73FFA">
              <w:rPr>
                <w:rFonts w:ascii="Candara" w:hAnsi="Candara"/>
                <w:lang w:val="en-US"/>
              </w:rPr>
              <w:t>Mündliche</w:t>
            </w:r>
            <w:proofErr w:type="spellEnd"/>
            <w:r w:rsidRPr="00C73FFA">
              <w:rPr>
                <w:rFonts w:ascii="Candara" w:hAnsi="Candara"/>
                <w:lang w:val="en-US"/>
              </w:rPr>
              <w:t xml:space="preserve"> </w:t>
            </w:r>
            <w:proofErr w:type="spellStart"/>
            <w:r w:rsidRPr="00C73FFA">
              <w:rPr>
                <w:rFonts w:ascii="Candara" w:hAnsi="Candara"/>
                <w:lang w:val="en-US"/>
              </w:rPr>
              <w:t>Prüfung</w:t>
            </w:r>
            <w:proofErr w:type="spellEnd"/>
          </w:p>
        </w:tc>
        <w:tc>
          <w:tcPr>
            <w:tcW w:w="1701" w:type="dxa"/>
            <w:tcBorders>
              <w:bottom w:val="single" w:sz="4" w:space="0" w:color="auto"/>
            </w:tcBorders>
            <w:vAlign w:val="center"/>
          </w:tcPr>
          <w:p w:rsidR="00661502" w:rsidRPr="00C73FFA" w:rsidRDefault="00661502" w:rsidP="0058665E">
            <w:pPr>
              <w:rPr>
                <w:rFonts w:ascii="Candara" w:hAnsi="Candara"/>
                <w:lang w:val="de-DE"/>
              </w:rPr>
            </w:pPr>
            <w:r w:rsidRPr="00C73FFA">
              <w:rPr>
                <w:rFonts w:ascii="Candara" w:hAnsi="Candara"/>
                <w:lang w:val="de-DE"/>
              </w:rPr>
              <w:t xml:space="preserve">      30</w:t>
            </w:r>
          </w:p>
        </w:tc>
      </w:tr>
    </w:tbl>
    <w:tbl>
      <w:tblPr>
        <w:tblStyle w:val="TableGrid"/>
        <w:tblW w:w="10440" w:type="dxa"/>
        <w:tblInd w:w="-432" w:type="dxa"/>
        <w:tblLook w:val="04A0"/>
      </w:tblPr>
      <w:tblGrid>
        <w:gridCol w:w="10440"/>
      </w:tblGrid>
      <w:tr w:rsidR="00B54668" w:rsidRPr="00B54668" w:rsidTr="00B54668">
        <w:trPr>
          <w:trHeight w:val="562"/>
        </w:trPr>
        <w:tc>
          <w:tcPr>
            <w:tcW w:w="10440" w:type="dxa"/>
            <w:shd w:val="clear" w:color="auto" w:fill="auto"/>
            <w:vAlign w:val="center"/>
          </w:tcPr>
          <w:p w:rsid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shd w:val="clear" w:color="auto" w:fill="auto"/>
            <w:vAlign w:val="center"/>
          </w:tcPr>
          <w:p w:rsidR="00B54668" w:rsidRPr="00C73FFA" w:rsidRDefault="00C73FFA" w:rsidP="00E857F8">
            <w:pPr>
              <w:tabs>
                <w:tab w:val="left" w:pos="360"/>
              </w:tabs>
              <w:spacing w:after="0" w:line="240" w:lineRule="auto"/>
              <w:jc w:val="left"/>
              <w:rPr>
                <w:rFonts w:ascii="Candara" w:hAnsi="Candara"/>
              </w:rPr>
            </w:pPr>
            <w:r w:rsidRPr="00C73FFA">
              <w:rPr>
                <w:rFonts w:ascii="Candara" w:hAnsi="Candara"/>
              </w:rPr>
              <w:t>Deutsch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6A" w:rsidRDefault="00FF616A" w:rsidP="00864926">
      <w:pPr>
        <w:spacing w:after="0" w:line="240" w:lineRule="auto"/>
      </w:pPr>
      <w:r>
        <w:separator/>
      </w:r>
    </w:p>
  </w:endnote>
  <w:endnote w:type="continuationSeparator" w:id="0">
    <w:p w:rsidR="00FF616A" w:rsidRDefault="00FF616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6A" w:rsidRDefault="00FF616A" w:rsidP="00864926">
      <w:pPr>
        <w:spacing w:after="0" w:line="240" w:lineRule="auto"/>
      </w:pPr>
      <w:r>
        <w:separator/>
      </w:r>
    </w:p>
  </w:footnote>
  <w:footnote w:type="continuationSeparator" w:id="0">
    <w:p w:rsidR="00FF616A" w:rsidRDefault="00FF616A"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proofErr w:type="gramStart"/>
      <w:r>
        <w:rPr>
          <w:rFonts w:asciiTheme="minorHAnsi" w:hAnsiTheme="minorHAnsi"/>
          <w:sz w:val="18"/>
          <w:szCs w:val="18"/>
        </w:rPr>
        <w:t>Face-to-face, distance learning, etc.</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82C56"/>
    <w:rsid w:val="000F6001"/>
    <w:rsid w:val="00173CB8"/>
    <w:rsid w:val="001958F5"/>
    <w:rsid w:val="001D64D3"/>
    <w:rsid w:val="002319B6"/>
    <w:rsid w:val="002C3F94"/>
    <w:rsid w:val="002E1614"/>
    <w:rsid w:val="00315601"/>
    <w:rsid w:val="00323176"/>
    <w:rsid w:val="003A5E98"/>
    <w:rsid w:val="00431EFA"/>
    <w:rsid w:val="0045734A"/>
    <w:rsid w:val="004D1C7E"/>
    <w:rsid w:val="005B0885"/>
    <w:rsid w:val="00604FF5"/>
    <w:rsid w:val="00661502"/>
    <w:rsid w:val="00783C57"/>
    <w:rsid w:val="0078427D"/>
    <w:rsid w:val="007B7CEF"/>
    <w:rsid w:val="00864926"/>
    <w:rsid w:val="008E464E"/>
    <w:rsid w:val="00911529"/>
    <w:rsid w:val="009906EA"/>
    <w:rsid w:val="009B5BBF"/>
    <w:rsid w:val="009D3AC4"/>
    <w:rsid w:val="00A10286"/>
    <w:rsid w:val="00A1335D"/>
    <w:rsid w:val="00A40B78"/>
    <w:rsid w:val="00B22F22"/>
    <w:rsid w:val="00B54668"/>
    <w:rsid w:val="00C60C45"/>
    <w:rsid w:val="00C73FFA"/>
    <w:rsid w:val="00C90691"/>
    <w:rsid w:val="00D549D1"/>
    <w:rsid w:val="00DB43CC"/>
    <w:rsid w:val="00DC26AD"/>
    <w:rsid w:val="00E60599"/>
    <w:rsid w:val="00E71A0B"/>
    <w:rsid w:val="00E857F8"/>
    <w:rsid w:val="00EC53EE"/>
    <w:rsid w:val="00F06AFA"/>
    <w:rsid w:val="00FE66C2"/>
    <w:rsid w:val="00FF616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84B34-7E8D-4D1B-A2E4-429AAFF3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2017-07-16T08:56:00Z</dcterms:created>
  <dcterms:modified xsi:type="dcterms:W3CDTF">2017-07-16T08:56:00Z</dcterms:modified>
</cp:coreProperties>
</file>